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00" w:lineRule="exact"/>
        <w:jc w:val="righ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（認定申請書ロ－①の添付書類）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46"/>
        <w:tblW w:w="849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266"/>
        <w:gridCol w:w="2546"/>
        <w:gridCol w:w="2687"/>
      </w:tblGrid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25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※１：業種欄には、営んでいる全ての事業が属する業種（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before="175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（表２：企業全体に係る原油等の最近１か月間の仕入単価の上昇）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977"/>
        <w:gridCol w:w="2410"/>
        <w:gridCol w:w="2409"/>
      </w:tblGrid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原油等の最近１か月間の平均仕入単価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原油等の前年同月の平均仕入単価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原油等の仕入単価の上昇率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E/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ｅ×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5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（表３：企業全体の売上原価に占める原油等の仕入価格の割合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）</w:t>
      </w:r>
    </w:p>
    <w:tbl>
      <w:tblPr>
        <w:tblStyle w:val="11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693"/>
        <w:gridCol w:w="2835"/>
        <w:gridCol w:w="2987"/>
      </w:tblGrid>
      <w:tr>
        <w:trPr>
          <w:trHeight w:val="1147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最近１か月間の売上原価に対応する原油等の仕入価格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売上原価に占める原油等の仕入価格の割合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S/C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363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（表４：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企業全体の製品等価格への転嫁の状況）</w:t>
      </w:r>
    </w:p>
    <w:tbl>
      <w:tblPr>
        <w:tblStyle w:val="11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最近３か月間の原油等の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最近３か月間の売上高</w:t>
            </w:r>
          </w:p>
        </w:tc>
        <w:tc>
          <w:tcPr>
            <w:tcW w:w="95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32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前年同期の原油等の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売上高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13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－（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）＝Ｐ</w:t>
            </w:r>
          </w:p>
        </w:tc>
      </w:tr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全体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sectPr>
      <w:footerReference r:id="rId5" w:type="default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未解決のメンション1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19</Words>
  <Characters>634</Characters>
  <Application>JUST Note</Application>
  <Lines>85</Lines>
  <Paragraphs>61</Paragraphs>
  <CharactersWithSpaces>645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dcterms:modified xsi:type="dcterms:W3CDTF">2024-12-02T11:00:34Z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